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widowControl/>
        <w:keepNext/>
      </w:pPr>
      <w:r>
        <w:rPr/>
      </w:r>
    </w:p>
    <w:p>
      <w:pPr>
        <w:pStyle w:val="style0"/>
        <w:jc w:val="right"/>
        <w:widowControl/>
        <w:keepNext/>
      </w:pPr>
      <w:r>
        <w:rPr>
          <w:dstrike w:val="off"/>
          <w:strike w:val="off"/>
        </w:rPr>
        <w:t>Голові Дерфінінспекції України</w:t>
      </w:r>
    </w:p>
    <w:p>
      <w:pPr>
        <w:pStyle w:val="style0"/>
        <w:jc w:val="right"/>
        <w:widowControl/>
        <w:keepNext/>
      </w:pPr>
      <w:r>
        <w:rPr>
          <w:dstrike w:val="off"/>
          <w:strike w:val="off"/>
        </w:rPr>
        <w:t>Андрєєву П.П.</w:t>
      </w:r>
    </w:p>
    <w:p>
      <w:pPr>
        <w:pStyle w:val="style0"/>
        <w:jc w:val="right"/>
        <w:widowControl/>
        <w:keepNext/>
      </w:pPr>
      <w:r>
        <w:rPr>
          <w:dstrike w:val="off"/>
          <w:strike w:val="off"/>
        </w:rPr>
        <w:t>вул. Сагайдачного, 4</w:t>
      </w:r>
    </w:p>
    <w:p>
      <w:pPr>
        <w:pStyle w:val="style0"/>
        <w:jc w:val="right"/>
        <w:widowControl/>
        <w:keepNext/>
      </w:pPr>
      <w:r>
        <w:rPr>
          <w:dstrike w:val="off"/>
          <w:strike w:val="off"/>
        </w:rPr>
        <w:t>04070 м. Київ</w:t>
      </w:r>
    </w:p>
    <w:p>
      <w:pPr>
        <w:pStyle w:val="style0"/>
        <w:jc w:val="right"/>
        <w:widowControl/>
        <w:keepNext/>
      </w:pPr>
      <w:r>
        <w:rPr>
          <w:dstrike w:val="off"/>
          <w:strike w:val="off"/>
        </w:rPr>
      </w:r>
    </w:p>
    <w:p>
      <w:pPr>
        <w:pStyle w:val="style0"/>
        <w:jc w:val="right"/>
        <w:widowControl/>
      </w:pPr>
      <w:r>
        <w:rPr>
          <w:dstrike w:val="off"/>
          <w:strike w:val="off"/>
        </w:rPr>
        <w:t>від</w:t>
      </w:r>
    </w:p>
    <w:p>
      <w:pPr>
        <w:pStyle w:val="style0"/>
        <w:jc w:val="right"/>
        <w:widowControl/>
      </w:pPr>
      <w:r>
        <w:rPr/>
      </w:r>
    </w:p>
    <w:p>
      <w:pPr>
        <w:pStyle w:val="style0"/>
        <w:jc w:val="center"/>
        <w:widowControl/>
      </w:pPr>
      <w:r>
        <w:rPr>
          <w:dstrike w:val="off"/>
          <w:strike w:val="off"/>
        </w:rPr>
        <w:t>ЗВЕРНЕННЯ</w:t>
      </w:r>
    </w:p>
    <w:p>
      <w:pPr>
        <w:pStyle w:val="style0"/>
        <w:jc w:val="center"/>
        <w:widowControl/>
        <w:keepNext/>
      </w:pPr>
      <w:r>
        <w:rPr>
          <w:dstrike w:val="off"/>
          <w:strike w:val="off"/>
        </w:rPr>
      </w:r>
    </w:p>
    <w:p>
      <w:pPr>
        <w:pStyle w:val="style0"/>
        <w:jc w:val="center"/>
        <w:widowControl/>
        <w:keepNext/>
      </w:pPr>
      <w:r>
        <w:rPr>
          <w:dstrike w:val="off"/>
          <w:strike w:val="off"/>
          <w:b/>
        </w:rPr>
        <w:t>Шановний Петре Петровичу!</w:t>
      </w:r>
    </w:p>
    <w:p>
      <w:pPr>
        <w:pStyle w:val="style0"/>
        <w:widowControl/>
        <w:ind w:firstLine="720" w:left="0" w:right="0"/>
        <w:keepNext/>
      </w:pPr>
      <w:r>
        <w:rPr>
          <w:dstrike w:val="off"/>
          <w:strike w:val="off"/>
        </w:rPr>
        <w:t>За повідомленням офіційного друкованого видання “Вісник державних закупівель” ОРГАНІЗАЦІЯ-1 за результатами тендеру (№ оголошення ХХХ від ДАТА) уклало договір з ОРГАНІЗАЦІЯ-2 на придбання ТОВАР.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За результатами придбано</w:t>
      </w:r>
      <w:r>
        <w:rPr>
          <w:dstrike w:val="off"/>
          <w:strike w:val="off"/>
          <w:shd w:fill="FFFF00"/>
        </w:rPr>
        <w:t xml:space="preserve"> скільки, цін</w:t>
      </w:r>
      <w:r>
        <w:rPr>
          <w:dstrike w:val="off"/>
          <w:strike w:val="off"/>
        </w:rPr>
        <w:t>а на загальну суму ХХХ.</w:t>
      </w:r>
    </w:p>
    <w:p>
      <w:pPr>
        <w:pStyle w:val="style0"/>
        <w:widowControl/>
        <w:keepNext/>
      </w:pPr>
      <w:r>
        <w:rPr>
          <w:dstrike w:val="off"/>
          <w:strike w:val="off"/>
        </w:rPr>
      </w:r>
    </w:p>
    <w:p>
      <w:pPr>
        <w:pStyle w:val="style0"/>
        <w:widowControl/>
        <w:keepNext/>
      </w:pPr>
      <w:r>
        <w:rPr>
          <w:dstrike w:val="off"/>
          <w:strike w:val="off"/>
        </w:rPr>
        <w:t>ОБҐРУНТУВАННЯ ПЕРЕВИТРАТ</w:t>
      </w:r>
    </w:p>
    <w:p>
      <w:pPr>
        <w:pStyle w:val="style0"/>
        <w:widowControl/>
        <w:keepNext/>
      </w:pPr>
      <w:r>
        <w:rPr>
          <w:dstrike w:val="off"/>
          <w:strike w:val="off"/>
        </w:rPr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При здійсненні вищезазначених торгів було грубо порушено ст 3 ЗУ  “Про здійснення державних закупівель”, а саме, закон ставить чітку вимогу, що державні закупівлі повинні здійснюватись максимально економно та ефективно.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На підставі викладеного й відповідно до частини п’ятої статті 7 ЗУ  “Про здійснення державних закупівель” та п.п. 4,6 Положення “Про Державну фінансову інспекцію” від 23 квітня 2011 року “499/2011, п.4 Положення “Про Державні фінансові інспекції в АРК, областях, містах Києві та Севастополі” від 3 жовтня 2011 року та частини першої та другої статті 16 ЗУ ““Про статус народного депутата України” прошу невідкладно: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1) провести перевірку законності укладеної угоди та ефективність і обґрунтованість використання бюджетних коштів;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2) вжити в установленому порядку заходів для усунення виявлених під час здійснення перевірки порушень законодавства та притягнути до відповідальності винних осіб;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3) передати правоохоронним органам матеріали ревізій у разі встановлення порушень законодавства, що передбачають кримінальну відповідальність або містять ознаки корупційних дій;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4) у разі виявлення збитків, завданих вказаним тендером державі, визначити їх розмір та вжити заходів по їх відшкодуванню.</w:t>
      </w:r>
    </w:p>
    <w:p>
      <w:pPr>
        <w:pStyle w:val="style0"/>
        <w:widowControl/>
        <w:keepNext/>
      </w:pPr>
      <w:r>
        <w:rPr>
          <w:dstrike w:val="off"/>
          <w:strike w:val="off"/>
        </w:rPr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>Про вжиті Вами заходи прошу повідомити мене впродовж 30 денного терміну, визначеного ЗУ “Про звернення громадян”</w:t>
      </w:r>
    </w:p>
    <w:p>
      <w:pPr>
        <w:pStyle w:val="style0"/>
        <w:widowControl/>
        <w:keepNext/>
      </w:pPr>
      <w:r>
        <w:rPr>
          <w:dstrike w:val="off"/>
          <w:strike w:val="off"/>
        </w:rPr>
      </w:r>
    </w:p>
    <w:p>
      <w:pPr>
        <w:pStyle w:val="style0"/>
        <w:widowControl/>
        <w:keepNext/>
      </w:pPr>
      <w:r>
        <w:rPr>
          <w:dstrike w:val="off"/>
          <w:strike w:val="off"/>
        </w:rPr>
        <w:t xml:space="preserve">З повагою </w:t>
      </w:r>
    </w:p>
    <w:p>
      <w:pPr>
        <w:pStyle w:val="style0"/>
        <w:widowControl/>
        <w:keepNext/>
      </w:pPr>
      <w:r>
        <w:rPr>
          <w:dstrike w:val="off"/>
          <w:strike w:val="off"/>
        </w:rPr>
        <w:tab/>
        <w:tab/>
        <w:tab/>
        <w:tab/>
        <w:tab/>
        <w:tab/>
        <w:tab/>
        <w:tab/>
        <w:tab/>
        <w:tab/>
        <w:tab/>
        <w:tab/>
        <w:t>П.І.Б.</w:t>
      </w:r>
    </w:p>
    <w:p>
      <w:pPr>
        <w:pStyle w:val="style0"/>
        <w:widowControl/>
        <w:keepNext/>
      </w:pPr>
      <w:r>
        <w:rPr>
          <w:dstrike w:val="off"/>
          <w:strike w:val="off"/>
        </w:rPr>
        <w:t>тел. (ХХХ) ХХХ-ХХ-ХХ</w:t>
      </w:r>
    </w:p>
    <w:sectPr>
      <w:formProt w:val="off"/>
      <w:pgSz w:h="15840" w:w="12240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ий"/>
    <w:next w:val="style0"/>
    <w:pPr>
      <w:jc w:val="left"/>
      <w:widowControl/>
      <w:tabs>
        <w:tab w:leader="none" w:pos="709" w:val="left"/>
      </w:tabs>
      <w:suppressAutoHyphens w:val="true"/>
      <w:ind w:hanging="0" w:left="0" w:right="0"/>
      <w:keepNext/>
      <w:spacing w:after="0" w:before="0" w:line="276" w:lineRule="atLeast"/>
    </w:pPr>
    <w:rPr>
      <w:smallCaps/>
      <w:color w:val="000000"/>
      <w:strike/>
      <w:sz w:val="22"/>
      <w:i/>
      <w:u w:val="none"/>
      <w:b/>
      <w:szCs w:val="20"/>
      <w:rFonts w:ascii="Arial" w:cs="Arial" w:eastAsia="Arial" w:hAnsi="Arial"/>
      <w:lang w:bidi="hi-IN" w:eastAsia="zh-CN" w:val="uk-UA"/>
    </w:rPr>
  </w:style>
  <w:style w:styleId="style1" w:type="paragraph">
    <w:name w:val="Заголовок 1"/>
    <w:basedOn w:val="style20"/>
    <w:next w:val="style16"/>
    <w:pPr>
      <w:outlineLvl w:val="0"/>
      <w:numPr>
        <w:ilvl w:val="0"/>
        <w:numId w:val="1"/>
      </w:numPr>
      <w:widowControl/>
      <w:keepNext/>
      <w:spacing w:after="120" w:before="480" w:line="100" w:lineRule="atLeast"/>
    </w:pPr>
    <w:rPr>
      <w:sz w:val="36"/>
      <w:b/>
    </w:rPr>
  </w:style>
  <w:style w:styleId="style2" w:type="paragraph">
    <w:name w:val="Заголовок 2"/>
    <w:basedOn w:val="style20"/>
    <w:next w:val="style16"/>
    <w:pPr>
      <w:outlineLvl w:val="1"/>
      <w:numPr>
        <w:ilvl w:val="1"/>
        <w:numId w:val="1"/>
      </w:numPr>
      <w:widowControl/>
      <w:keepNext/>
      <w:spacing w:after="80" w:before="360" w:line="100" w:lineRule="atLeast"/>
    </w:pPr>
    <w:rPr>
      <w:sz w:val="28"/>
      <w:b/>
    </w:rPr>
  </w:style>
  <w:style w:styleId="style3" w:type="paragraph">
    <w:name w:val="Заголовок 3"/>
    <w:basedOn w:val="style20"/>
    <w:next w:val="style16"/>
    <w:pPr>
      <w:outlineLvl w:val="2"/>
      <w:numPr>
        <w:ilvl w:val="2"/>
        <w:numId w:val="1"/>
      </w:numPr>
      <w:widowControl/>
      <w:keepNext/>
      <w:spacing w:after="80" w:before="280" w:line="100" w:lineRule="atLeast"/>
    </w:pPr>
    <w:rPr>
      <w:color w:val="666666"/>
      <w:sz w:val="24"/>
      <w:b/>
    </w:rPr>
  </w:style>
  <w:style w:styleId="style4" w:type="paragraph">
    <w:name w:val="Заголовок 4"/>
    <w:basedOn w:val="style20"/>
    <w:next w:val="style16"/>
    <w:pPr>
      <w:outlineLvl w:val="3"/>
      <w:numPr>
        <w:ilvl w:val="3"/>
        <w:numId w:val="1"/>
      </w:numPr>
      <w:widowControl/>
      <w:keepNext/>
      <w:spacing w:after="40" w:before="240" w:line="100" w:lineRule="atLeast"/>
    </w:pPr>
    <w:rPr>
      <w:color w:val="666666"/>
      <w:sz w:val="22"/>
      <w:i/>
    </w:rPr>
  </w:style>
  <w:style w:styleId="style5" w:type="paragraph">
    <w:name w:val="Заголовок 5"/>
    <w:basedOn w:val="style20"/>
    <w:next w:val="style16"/>
    <w:pPr>
      <w:outlineLvl w:val="4"/>
      <w:numPr>
        <w:ilvl w:val="4"/>
        <w:numId w:val="1"/>
      </w:numPr>
      <w:widowControl/>
      <w:keepNext/>
      <w:spacing w:after="40" w:before="220" w:line="100" w:lineRule="atLeast"/>
    </w:pPr>
    <w:rPr>
      <w:color w:val="666666"/>
      <w:sz w:val="20"/>
      <w:b/>
    </w:rPr>
  </w:style>
  <w:style w:styleId="style6" w:type="paragraph">
    <w:name w:val="Заголовок 6"/>
    <w:basedOn w:val="style20"/>
    <w:next w:val="style16"/>
    <w:pPr>
      <w:outlineLvl w:val="5"/>
      <w:numPr>
        <w:ilvl w:val="5"/>
        <w:numId w:val="1"/>
      </w:numPr>
      <w:widowControl/>
      <w:keepNext/>
      <w:spacing w:after="40" w:before="200" w:line="100" w:lineRule="atLeast"/>
    </w:pPr>
    <w:rPr>
      <w:color w:val="666666"/>
      <w:sz w:val="20"/>
      <w:i/>
    </w:rPr>
  </w:style>
  <w:style w:styleId="style15" w:type="paragraph">
    <w:name w:val="Заголовок"/>
    <w:basedOn w:val="style20"/>
    <w:next w:val="style16"/>
    <w:pPr>
      <w:widowControl/>
      <w:keepNext/>
      <w:spacing w:after="120" w:before="480" w:line="100" w:lineRule="atLeast"/>
    </w:pPr>
    <w:rPr>
      <w:sz w:val="72"/>
      <w:b/>
      <w:szCs w:val="28"/>
      <w:rFonts w:ascii="Arial" w:cs="DejaVu Sans" w:eastAsia="DejaVu Sans" w:hAnsi="Arial"/>
    </w:rPr>
  </w:style>
  <w:style w:styleId="style16" w:type="paragraph">
    <w:name w:val="Основни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/>
  </w:style>
  <w:style w:styleId="style18" w:type="paragraph">
    <w:name w:val="Назва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Покажчик"/>
    <w:basedOn w:val="style0"/>
    <w:next w:val="style19"/>
    <w:pPr>
      <w:suppressLineNumbers/>
    </w:pPr>
    <w:rPr/>
  </w:style>
  <w:style w:styleId="style20" w:type="paragraph">
    <w:name w:val="normal"/>
    <w:next w:val="style20"/>
    <w:pPr>
      <w:jc w:val="left"/>
      <w:widowControl/>
      <w:tabs>
        <w:tab w:leader="none" w:pos="709" w:val="left"/>
      </w:tabs>
      <w:suppressAutoHyphens w:val="true"/>
      <w:ind w:hanging="0" w:left="0" w:right="0"/>
      <w:keepNext/>
      <w:spacing w:after="0" w:before="0" w:line="276" w:lineRule="atLeast"/>
    </w:pPr>
    <w:rPr>
      <w:smallCaps/>
      <w:color w:val="000000"/>
      <w:strike/>
      <w:sz w:val="22"/>
      <w:i/>
      <w:u w:val="none"/>
      <w:b/>
      <w:szCs w:val="20"/>
      <w:rFonts w:ascii="Arial" w:cs="Arial" w:eastAsia="Arial" w:hAnsi="Arial"/>
      <w:lang w:bidi="hi-IN" w:eastAsia="zh-CN" w:val="uk-UA"/>
    </w:rPr>
  </w:style>
  <w:style w:styleId="style21" w:type="paragraph">
    <w:name w:val="Підзаголовок"/>
    <w:basedOn w:val="style20"/>
    <w:next w:val="style16"/>
    <w:pPr>
      <w:jc w:val="center"/>
      <w:widowControl/>
      <w:keepNext/>
      <w:spacing w:after="80" w:before="360" w:line="100" w:lineRule="atLeast"/>
    </w:pPr>
    <w:rPr>
      <w:color w:val="666666"/>
      <w:sz w:val="48"/>
      <w:i/>
      <w:szCs w:val="28"/>
      <w:iCs/>
      <w:rFonts w:ascii="Georgia" w:cs="Georgia" w:eastAsia="Georgia" w:hAnsi="Georgi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шаблон депутатського звернення в Держфінінспекцію.docx</dc:title>
</cp:coreProperties>
</file>